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誓約書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宛先</w:t>
            </w:r>
          </w:p>
        </w:tc>
        <w:tc>
          <w:tcPr>
            <w:tcW w:type="dxa" w:w="4873"/>
          </w:tcPr>
          <w:p>
            <w:r>
              <w:t>東京湾岸リハビリテーション病院 病院長 近藤 国嗣 殿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誓約事項</w:t>
            </w:r>
          </w:p>
        </w:tc>
        <w:tc>
          <w:tcPr>
            <w:tcW w:type="dxa" w:w="4873"/>
          </w:tcPr>
          <w:p>
            <w:r>
              <w:t>虚偽記載をしない／公正な競争を妨げない／関係法令及び入札条件を遵守する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商号又は名称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代表者役職・氏名</w:t>
            </w:r>
          </w:p>
        </w:tc>
        <w:tc>
          <w:tcPr>
            <w:tcW w:type="dxa" w:w="4873"/>
          </w:tcPr>
          <w:p>
            <w:r>
              <w:t xml:space="preserve">　　　　　　　　　代表者印 ㊞</w:t>
            </w:r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